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bookmarkStart w:id="0" w:name="_GoBack"/>
            <w:bookmarkEnd w:id="0"/>
            <w:r w:rsidRPr="005E66FE">
              <w:rPr>
                <w:rFonts w:cs="Arial"/>
                <w:sz w:val="22"/>
                <w:szCs w:val="22"/>
              </w:rPr>
              <w:t>Title</w:t>
            </w:r>
          </w:p>
        </w:tc>
        <w:tc>
          <w:tcPr>
            <w:tcW w:w="8158" w:type="dxa"/>
            <w:gridSpan w:val="3"/>
            <w:tcMar>
              <w:top w:w="170" w:type="dxa"/>
              <w:bottom w:w="170" w:type="dxa"/>
            </w:tcMar>
          </w:tcPr>
          <w:p w:rsidR="009F4293" w:rsidRPr="005E66FE" w:rsidRDefault="0036386F" w:rsidP="005776EA">
            <w:pPr>
              <w:rPr>
                <w:rFonts w:ascii="Arial" w:hAnsi="Arial" w:cs="Arial"/>
                <w:b/>
              </w:rPr>
            </w:pPr>
            <w:r w:rsidRPr="0036386F">
              <w:rPr>
                <w:rFonts w:ascii="Arial" w:hAnsi="Arial" w:cs="Arial"/>
                <w:b/>
                <w:bCs/>
              </w:rPr>
              <w:t xml:space="preserve">Observe code of </w:t>
            </w:r>
            <w:r w:rsidR="005776EA">
              <w:rPr>
                <w:rFonts w:ascii="Arial" w:hAnsi="Arial" w:cs="Arial"/>
                <w:b/>
                <w:bCs/>
              </w:rPr>
              <w:t>c</w:t>
            </w:r>
            <w:r w:rsidRPr="0036386F">
              <w:rPr>
                <w:rFonts w:ascii="Arial" w:hAnsi="Arial" w:cs="Arial"/>
                <w:b/>
                <w:bCs/>
              </w:rPr>
              <w:t>onduct</w:t>
            </w:r>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36386F" w:rsidP="00D90C9F">
            <w:pPr>
              <w:rPr>
                <w:rFonts w:ascii="Arial" w:hAnsi="Arial" w:cs="Arial"/>
                <w:b/>
              </w:rPr>
            </w:pPr>
            <w:r>
              <w:rPr>
                <w:rFonts w:ascii="Arial" w:hAnsi="Arial" w:cs="Arial"/>
                <w:b/>
              </w:rPr>
              <w:t>4</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36386F" w:rsidP="00D90C9F">
            <w:pPr>
              <w:rPr>
                <w:rFonts w:ascii="Arial" w:hAnsi="Arial" w:cs="Arial"/>
                <w:b/>
              </w:rPr>
            </w:pPr>
            <w:r>
              <w:rPr>
                <w:rFonts w:ascii="Arial" w:hAnsi="Arial" w:cs="Arial"/>
                <w:b/>
              </w:rPr>
              <w:t>4</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36386F" w:rsidP="00EF4532">
            <w:pPr>
              <w:rPr>
                <w:rFonts w:ascii="Arial" w:hAnsi="Arial" w:cs="Arial"/>
              </w:rPr>
            </w:pPr>
            <w:r w:rsidRPr="0036386F">
              <w:rPr>
                <w:rFonts w:ascii="Arial" w:hAnsi="Arial" w:cs="Arial"/>
              </w:rPr>
              <w:t>This competency standard covers the skills and knowledge required to identify TVET requirements in relation to own job role, maintain professional approach to assessment, and protect and prevent the misuse of confidential information.</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7073D3" w:rsidRDefault="0036386F" w:rsidP="0036386F">
            <w:pPr>
              <w:rPr>
                <w:rFonts w:ascii="Arial" w:hAnsi="Arial" w:cs="Arial"/>
              </w:rPr>
            </w:pPr>
            <w:r w:rsidRPr="0036386F">
              <w:rPr>
                <w:rFonts w:ascii="Arial" w:hAnsi="Arial" w:cs="Arial"/>
              </w:rPr>
              <w:t>0115</w:t>
            </w:r>
            <w:r w:rsidR="007073D3" w:rsidRPr="007073D3">
              <w:rPr>
                <w:rFonts w:ascii="Arial" w:hAnsi="Arial" w:cs="Arial"/>
              </w:rPr>
              <w:t xml:space="preserve"> </w:t>
            </w:r>
            <w:r w:rsidRPr="0036386F">
              <w:rPr>
                <w:rFonts w:ascii="Arial" w:hAnsi="Arial" w:cs="Arial"/>
              </w:rPr>
              <w:t xml:space="preserve">Assessor </w:t>
            </w:r>
            <w:r>
              <w:rPr>
                <w:rFonts w:ascii="Arial" w:hAnsi="Arial" w:cs="Arial"/>
              </w:rPr>
              <w:t>t</w:t>
            </w:r>
            <w:r w:rsidRPr="0036386F">
              <w:rPr>
                <w:rFonts w:ascii="Arial" w:hAnsi="Arial" w:cs="Arial"/>
              </w:rPr>
              <w:t>raining</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8B04E8" w:rsidRDefault="008B04E8" w:rsidP="00FB7427">
      <w:pPr>
        <w:spacing w:before="10"/>
        <w:rPr>
          <w:rFonts w:ascii="Arial"/>
          <w:b/>
        </w:rPr>
      </w:pPr>
    </w:p>
    <w:p w:rsidR="00243FB4" w:rsidRDefault="00243FB4" w:rsidP="00FB7427">
      <w:pPr>
        <w:spacing w:before="10"/>
        <w:rPr>
          <w:rFonts w:ascii="Arial"/>
          <w:b/>
        </w:rPr>
      </w:pPr>
    </w:p>
    <w:p w:rsidR="006E6C90" w:rsidRDefault="006E6C90" w:rsidP="00FB7427">
      <w:pPr>
        <w:spacing w:before="10"/>
        <w:rPr>
          <w:rFonts w:ascii="Arial"/>
          <w:b/>
        </w:rPr>
      </w:pPr>
    </w:p>
    <w:p w:rsidR="007073D3" w:rsidRDefault="007073D3" w:rsidP="00FB7427">
      <w:pPr>
        <w:spacing w:before="10"/>
        <w:rPr>
          <w:rFonts w:ascii="Arial"/>
          <w:b/>
        </w:rPr>
      </w:pPr>
    </w:p>
    <w:p w:rsidR="007073D3" w:rsidRDefault="007073D3" w:rsidP="00FB7427">
      <w:pPr>
        <w:spacing w:before="10"/>
        <w:rPr>
          <w:rFonts w:ascii="Arial"/>
          <w:b/>
        </w:rPr>
      </w:pPr>
    </w:p>
    <w:p w:rsidR="007073D3" w:rsidRDefault="007073D3" w:rsidP="00FB7427">
      <w:pPr>
        <w:spacing w:before="10"/>
        <w:rPr>
          <w:rFonts w:ascii="Arial"/>
          <w:b/>
        </w:rPr>
      </w:pPr>
    </w:p>
    <w:p w:rsidR="006E6C90" w:rsidRDefault="006E6C90" w:rsidP="00FB7427">
      <w:pPr>
        <w:spacing w:before="10"/>
        <w:rPr>
          <w:rFonts w:ascii="Arial"/>
          <w:b/>
        </w:rPr>
      </w:pPr>
    </w:p>
    <w:tbl>
      <w:tblPr>
        <w:tblW w:w="142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850"/>
        <w:gridCol w:w="6120"/>
      </w:tblGrid>
      <w:tr w:rsidR="0036386F" w:rsidRPr="0036386F" w:rsidTr="0036386F">
        <w:trPr>
          <w:trHeight w:val="636"/>
        </w:trPr>
        <w:tc>
          <w:tcPr>
            <w:tcW w:w="2268" w:type="dxa"/>
            <w:shd w:val="clear" w:color="auto" w:fill="FBD4B4" w:themeFill="accent6" w:themeFillTint="66"/>
            <w:vAlign w:val="center"/>
          </w:tcPr>
          <w:p w:rsidR="0036386F" w:rsidRPr="0036386F" w:rsidRDefault="0036386F" w:rsidP="000E05F0">
            <w:pPr>
              <w:rPr>
                <w:rFonts w:ascii="Arial" w:hAnsi="Arial" w:cs="Arial"/>
                <w:b/>
                <w:bCs/>
              </w:rPr>
            </w:pPr>
            <w:r w:rsidRPr="0036386F">
              <w:rPr>
                <w:rFonts w:ascii="Arial" w:hAnsi="Arial" w:cs="Arial"/>
                <w:b/>
                <w:bCs/>
              </w:rPr>
              <w:lastRenderedPageBreak/>
              <w:t>Competency Unit</w:t>
            </w:r>
          </w:p>
        </w:tc>
        <w:tc>
          <w:tcPr>
            <w:tcW w:w="5850" w:type="dxa"/>
            <w:shd w:val="clear" w:color="auto" w:fill="FBD4B4" w:themeFill="accent6" w:themeFillTint="66"/>
            <w:vAlign w:val="center"/>
          </w:tcPr>
          <w:p w:rsidR="0036386F" w:rsidRPr="0036386F" w:rsidRDefault="0036386F" w:rsidP="000E05F0">
            <w:pPr>
              <w:rPr>
                <w:rFonts w:ascii="Arial" w:hAnsi="Arial" w:cs="Arial"/>
                <w:b/>
              </w:rPr>
            </w:pPr>
            <w:r w:rsidRPr="0036386F">
              <w:rPr>
                <w:rFonts w:ascii="Arial" w:hAnsi="Arial" w:cs="Arial"/>
                <w:b/>
              </w:rPr>
              <w:t>Performance Criteria</w:t>
            </w:r>
          </w:p>
        </w:tc>
        <w:tc>
          <w:tcPr>
            <w:tcW w:w="6120" w:type="dxa"/>
            <w:shd w:val="clear" w:color="auto" w:fill="FBD4B4" w:themeFill="accent6" w:themeFillTint="66"/>
            <w:vAlign w:val="center"/>
          </w:tcPr>
          <w:p w:rsidR="0036386F" w:rsidRPr="0036386F" w:rsidRDefault="0036386F" w:rsidP="000E05F0">
            <w:pPr>
              <w:rPr>
                <w:rFonts w:ascii="Arial" w:hAnsi="Arial" w:cs="Arial"/>
              </w:rPr>
            </w:pPr>
            <w:r w:rsidRPr="0036386F">
              <w:rPr>
                <w:rFonts w:ascii="Arial" w:hAnsi="Arial" w:cs="Arial"/>
                <w:b/>
                <w:bCs/>
              </w:rPr>
              <w:t>Knowledge and Understanding</w:t>
            </w:r>
          </w:p>
        </w:tc>
      </w:tr>
      <w:tr w:rsidR="0036386F" w:rsidRPr="0036386F" w:rsidTr="000E05F0">
        <w:trPr>
          <w:trHeight w:val="2204"/>
        </w:trPr>
        <w:tc>
          <w:tcPr>
            <w:tcW w:w="2268" w:type="dxa"/>
          </w:tcPr>
          <w:p w:rsidR="0036386F" w:rsidRPr="0036386F" w:rsidRDefault="0036386F" w:rsidP="000E05F0">
            <w:pPr>
              <w:rPr>
                <w:rFonts w:ascii="Arial" w:hAnsi="Arial" w:cs="Arial"/>
              </w:rPr>
            </w:pPr>
            <w:r w:rsidRPr="0036386F">
              <w:rPr>
                <w:rFonts w:ascii="Arial" w:hAnsi="Arial" w:cs="Arial"/>
                <w:b/>
                <w:bCs/>
              </w:rPr>
              <w:t>A1</w:t>
            </w:r>
            <w:r w:rsidRPr="0036386F">
              <w:rPr>
                <w:rFonts w:ascii="Arial" w:hAnsi="Arial" w:cs="Arial"/>
              </w:rPr>
              <w:t>. Identify TVET requirements in relation to own job role</w:t>
            </w:r>
          </w:p>
        </w:tc>
        <w:tc>
          <w:tcPr>
            <w:tcW w:w="5850" w:type="dxa"/>
          </w:tcPr>
          <w:p w:rsidR="0036386F" w:rsidRPr="0036386F" w:rsidRDefault="0036386F" w:rsidP="000E05F0">
            <w:pPr>
              <w:rPr>
                <w:rFonts w:ascii="Arial" w:hAnsi="Arial" w:cs="Arial"/>
                <w:b/>
              </w:rPr>
            </w:pPr>
            <w:r w:rsidRPr="0036386F">
              <w:rPr>
                <w:rFonts w:ascii="Arial" w:hAnsi="Arial" w:cs="Arial"/>
                <w:b/>
              </w:rPr>
              <w:t xml:space="preserve">Assessor  be able to: </w:t>
            </w:r>
          </w:p>
          <w:p w:rsidR="0036386F" w:rsidRPr="0036386F" w:rsidRDefault="0036386F" w:rsidP="0036386F">
            <w:pPr>
              <w:pStyle w:val="GIZTemplateHeadings"/>
              <w:numPr>
                <w:ilvl w:val="0"/>
                <w:numId w:val="43"/>
              </w:numPr>
              <w:tabs>
                <w:tab w:val="clear" w:pos="1134"/>
              </w:tabs>
              <w:spacing w:before="0"/>
              <w:ind w:left="390"/>
              <w:rPr>
                <w:b w:val="0"/>
                <w:bCs w:val="0"/>
                <w:sz w:val="22"/>
                <w:lang w:val="en-AU"/>
              </w:rPr>
            </w:pPr>
            <w:r w:rsidRPr="0036386F">
              <w:rPr>
                <w:b w:val="0"/>
                <w:bCs w:val="0"/>
                <w:sz w:val="22"/>
                <w:lang w:val="en-AU"/>
              </w:rPr>
              <w:t xml:space="preserve"> Apply knowledge of policies and principles of competency-based assessment to own job performance</w:t>
            </w:r>
          </w:p>
          <w:p w:rsidR="0036386F" w:rsidRPr="0036386F" w:rsidRDefault="0036386F" w:rsidP="0036386F">
            <w:pPr>
              <w:pStyle w:val="GIZTemplateHeadings"/>
              <w:numPr>
                <w:ilvl w:val="0"/>
                <w:numId w:val="43"/>
              </w:numPr>
              <w:tabs>
                <w:tab w:val="clear" w:pos="1134"/>
              </w:tabs>
              <w:spacing w:before="0"/>
              <w:ind w:left="390"/>
              <w:rPr>
                <w:b w:val="0"/>
                <w:bCs w:val="0"/>
                <w:sz w:val="22"/>
                <w:lang w:val="en-AU"/>
              </w:rPr>
            </w:pPr>
            <w:r w:rsidRPr="0036386F">
              <w:rPr>
                <w:b w:val="0"/>
                <w:bCs w:val="0"/>
                <w:sz w:val="22"/>
                <w:lang w:val="en-AU"/>
              </w:rPr>
              <w:t xml:space="preserve">Carry out assessment duties according to job role requirements and Assessor Code of Professional Practice </w:t>
            </w:r>
          </w:p>
          <w:p w:rsidR="0036386F" w:rsidRPr="0036386F" w:rsidRDefault="0036386F" w:rsidP="0036386F">
            <w:pPr>
              <w:pStyle w:val="GIZTemplateHeadings"/>
              <w:numPr>
                <w:ilvl w:val="0"/>
                <w:numId w:val="43"/>
              </w:numPr>
              <w:tabs>
                <w:tab w:val="clear" w:pos="1134"/>
              </w:tabs>
              <w:spacing w:before="0"/>
              <w:ind w:left="390"/>
              <w:rPr>
                <w:b w:val="0"/>
                <w:bCs w:val="0"/>
                <w:sz w:val="22"/>
                <w:lang w:val="en-AU"/>
              </w:rPr>
            </w:pPr>
            <w:r w:rsidRPr="0036386F">
              <w:rPr>
                <w:b w:val="0"/>
                <w:bCs w:val="0"/>
                <w:sz w:val="22"/>
                <w:lang w:val="en-AU"/>
              </w:rPr>
              <w:t xml:space="preserve">Exercise job role authority within scope of work </w:t>
            </w:r>
          </w:p>
          <w:p w:rsidR="0036386F" w:rsidRPr="0036386F" w:rsidRDefault="0036386F" w:rsidP="0036386F">
            <w:pPr>
              <w:pStyle w:val="Listenabsatz"/>
              <w:widowControl/>
              <w:numPr>
                <w:ilvl w:val="0"/>
                <w:numId w:val="43"/>
              </w:numPr>
              <w:spacing w:after="120" w:line="276" w:lineRule="auto"/>
              <w:ind w:left="390" w:right="60"/>
              <w:rPr>
                <w:rFonts w:ascii="Arial" w:hAnsi="Arial" w:cs="Arial"/>
              </w:rPr>
            </w:pPr>
            <w:r w:rsidRPr="0036386F">
              <w:rPr>
                <w:rFonts w:ascii="Arial" w:hAnsi="Arial" w:cs="Arial"/>
              </w:rPr>
              <w:t>Participate in moderation and validation activities as required by job role</w:t>
            </w:r>
          </w:p>
        </w:tc>
        <w:tc>
          <w:tcPr>
            <w:tcW w:w="6120" w:type="dxa"/>
          </w:tcPr>
          <w:p w:rsidR="0036386F" w:rsidRPr="0036386F" w:rsidRDefault="0036386F" w:rsidP="000E05F0">
            <w:pPr>
              <w:rPr>
                <w:rFonts w:ascii="Arial" w:hAnsi="Arial" w:cs="Arial"/>
              </w:rPr>
            </w:pPr>
            <w:r w:rsidRPr="0036386F">
              <w:rPr>
                <w:rFonts w:ascii="Arial" w:hAnsi="Arial" w:cs="Arial"/>
                <w:b/>
              </w:rPr>
              <w:t>Assessor will know and understand:</w:t>
            </w:r>
          </w:p>
          <w:p w:rsidR="0036386F" w:rsidRPr="0036386F" w:rsidRDefault="0036386F" w:rsidP="0036386F">
            <w:pPr>
              <w:pStyle w:val="Listenabsatz"/>
              <w:widowControl/>
              <w:numPr>
                <w:ilvl w:val="0"/>
                <w:numId w:val="44"/>
              </w:numPr>
              <w:spacing w:after="120" w:line="276" w:lineRule="auto"/>
              <w:ind w:left="352" w:right="60"/>
              <w:rPr>
                <w:rFonts w:ascii="Arial" w:hAnsi="Arial" w:cs="Arial"/>
              </w:rPr>
            </w:pPr>
            <w:r w:rsidRPr="0036386F">
              <w:rPr>
                <w:rFonts w:ascii="Arial" w:hAnsi="Arial" w:cs="Arial"/>
              </w:rPr>
              <w:t xml:space="preserve">Policies and principles of </w:t>
            </w:r>
            <w:r w:rsidRPr="0036386F">
              <w:rPr>
                <w:rFonts w:ascii="Arial" w:hAnsi="Arial" w:cs="Arial"/>
                <w:lang w:val="en-AU"/>
              </w:rPr>
              <w:t>competency-based assessment in Pakistan TVET system</w:t>
            </w:r>
          </w:p>
          <w:p w:rsidR="0036386F" w:rsidRPr="0036386F" w:rsidRDefault="0036386F" w:rsidP="0036386F">
            <w:pPr>
              <w:pStyle w:val="Listenabsatz"/>
              <w:widowControl/>
              <w:numPr>
                <w:ilvl w:val="0"/>
                <w:numId w:val="44"/>
              </w:numPr>
              <w:spacing w:after="120" w:line="276" w:lineRule="auto"/>
              <w:ind w:left="352" w:right="60"/>
              <w:rPr>
                <w:rFonts w:ascii="Arial" w:hAnsi="Arial" w:cs="Arial"/>
              </w:rPr>
            </w:pPr>
            <w:r w:rsidRPr="0036386F">
              <w:rPr>
                <w:rFonts w:ascii="Arial" w:hAnsi="Arial" w:cs="Arial"/>
              </w:rPr>
              <w:t>Job description, assessor role requirements</w:t>
            </w:r>
            <w:r w:rsidRPr="0036386F">
              <w:rPr>
                <w:rFonts w:ascii="Arial" w:hAnsi="Arial" w:cs="Arial"/>
                <w:bCs/>
              </w:rPr>
              <w:t xml:space="preserve"> and</w:t>
            </w:r>
            <w:r w:rsidRPr="0036386F">
              <w:rPr>
                <w:rFonts w:ascii="Arial" w:hAnsi="Arial" w:cs="Arial"/>
                <w:b/>
                <w:bCs/>
              </w:rPr>
              <w:t xml:space="preserve"> </w:t>
            </w:r>
            <w:r w:rsidRPr="0036386F">
              <w:rPr>
                <w:rFonts w:ascii="Arial" w:hAnsi="Arial" w:cs="Arial"/>
                <w:bCs/>
              </w:rPr>
              <w:t xml:space="preserve">Assessor Code of Professional Practice </w:t>
            </w:r>
          </w:p>
          <w:p w:rsidR="0036386F" w:rsidRPr="0036386F" w:rsidRDefault="0036386F" w:rsidP="0036386F">
            <w:pPr>
              <w:pStyle w:val="GIZTemplateHeadings"/>
              <w:numPr>
                <w:ilvl w:val="0"/>
                <w:numId w:val="44"/>
              </w:numPr>
              <w:tabs>
                <w:tab w:val="left" w:pos="567"/>
              </w:tabs>
              <w:spacing w:before="0"/>
              <w:ind w:left="352"/>
              <w:rPr>
                <w:b w:val="0"/>
                <w:bCs w:val="0"/>
                <w:sz w:val="22"/>
                <w:lang w:val="en-AU"/>
              </w:rPr>
            </w:pPr>
            <w:r w:rsidRPr="0036386F">
              <w:rPr>
                <w:b w:val="0"/>
                <w:bCs w:val="0"/>
                <w:sz w:val="22"/>
                <w:lang w:val="en-AU"/>
              </w:rPr>
              <w:t>Assigned scope of work</w:t>
            </w:r>
          </w:p>
          <w:p w:rsidR="0036386F" w:rsidRPr="0036386F" w:rsidRDefault="0036386F" w:rsidP="0036386F">
            <w:pPr>
              <w:pStyle w:val="Listenabsatz"/>
              <w:widowControl/>
              <w:numPr>
                <w:ilvl w:val="0"/>
                <w:numId w:val="44"/>
              </w:numPr>
              <w:spacing w:after="120" w:line="276" w:lineRule="auto"/>
              <w:ind w:left="352" w:right="60"/>
              <w:rPr>
                <w:rFonts w:ascii="Arial" w:hAnsi="Arial" w:cs="Arial"/>
              </w:rPr>
            </w:pPr>
            <w:r w:rsidRPr="0036386F">
              <w:rPr>
                <w:rFonts w:ascii="Arial" w:hAnsi="Arial" w:cs="Arial"/>
              </w:rPr>
              <w:t>Moderation and validation activities</w:t>
            </w:r>
          </w:p>
        </w:tc>
      </w:tr>
      <w:tr w:rsidR="0036386F" w:rsidRPr="0036386F" w:rsidTr="000E05F0">
        <w:tc>
          <w:tcPr>
            <w:tcW w:w="2268" w:type="dxa"/>
          </w:tcPr>
          <w:p w:rsidR="0036386F" w:rsidRPr="0036386F" w:rsidRDefault="0036386F" w:rsidP="000E05F0">
            <w:pPr>
              <w:rPr>
                <w:rFonts w:ascii="Arial" w:hAnsi="Arial" w:cs="Arial"/>
              </w:rPr>
            </w:pPr>
            <w:r w:rsidRPr="0036386F">
              <w:rPr>
                <w:rFonts w:ascii="Arial" w:hAnsi="Arial" w:cs="Arial"/>
                <w:b/>
                <w:bCs/>
              </w:rPr>
              <w:t>A2</w:t>
            </w:r>
            <w:r w:rsidRPr="0036386F">
              <w:rPr>
                <w:rFonts w:ascii="Arial" w:hAnsi="Arial" w:cs="Arial"/>
              </w:rPr>
              <w:t>. Maintain professional approach to assessment</w:t>
            </w:r>
          </w:p>
        </w:tc>
        <w:tc>
          <w:tcPr>
            <w:tcW w:w="5850" w:type="dxa"/>
          </w:tcPr>
          <w:p w:rsidR="0036386F" w:rsidRPr="0036386F" w:rsidRDefault="0036386F" w:rsidP="000E05F0">
            <w:pPr>
              <w:pStyle w:val="GIZTemplateHeadings"/>
              <w:numPr>
                <w:ilvl w:val="0"/>
                <w:numId w:val="0"/>
              </w:numPr>
              <w:tabs>
                <w:tab w:val="left" w:pos="567"/>
              </w:tabs>
              <w:spacing w:before="0" w:after="0"/>
              <w:rPr>
                <w:sz w:val="22"/>
                <w:szCs w:val="22"/>
                <w:lang w:val="en-AU"/>
              </w:rPr>
            </w:pPr>
            <w:r w:rsidRPr="0036386F">
              <w:rPr>
                <w:sz w:val="22"/>
                <w:szCs w:val="22"/>
              </w:rPr>
              <w:t>Assessor will be able to:</w:t>
            </w:r>
          </w:p>
          <w:p w:rsidR="0036386F" w:rsidRPr="0036386F" w:rsidRDefault="0036386F" w:rsidP="000E05F0">
            <w:pPr>
              <w:pStyle w:val="GIZTemplateHeadings"/>
              <w:numPr>
                <w:ilvl w:val="0"/>
                <w:numId w:val="0"/>
              </w:numPr>
              <w:tabs>
                <w:tab w:val="left" w:pos="567"/>
              </w:tabs>
              <w:spacing w:after="0"/>
              <w:ind w:left="390" w:hanging="390"/>
              <w:rPr>
                <w:b w:val="0"/>
                <w:bCs w:val="0"/>
                <w:sz w:val="22"/>
                <w:szCs w:val="22"/>
                <w:lang w:val="en-AU"/>
              </w:rPr>
            </w:pPr>
            <w:r w:rsidRPr="0036386F">
              <w:rPr>
                <w:sz w:val="22"/>
                <w:szCs w:val="22"/>
                <w:lang w:val="en-AU"/>
              </w:rPr>
              <w:t>P1</w:t>
            </w:r>
            <w:r w:rsidRPr="0036386F">
              <w:rPr>
                <w:b w:val="0"/>
                <w:bCs w:val="0"/>
                <w:sz w:val="22"/>
                <w:szCs w:val="22"/>
                <w:lang w:val="en-AU"/>
              </w:rPr>
              <w:t xml:space="preserve">. </w:t>
            </w:r>
            <w:r w:rsidRPr="0036386F">
              <w:rPr>
                <w:b w:val="0"/>
                <w:bCs w:val="0"/>
                <w:sz w:val="22"/>
                <w:lang w:val="en-AU"/>
              </w:rPr>
              <w:t>Maintain professional boundaries between candidate and self during assessment activities</w:t>
            </w:r>
          </w:p>
          <w:p w:rsidR="0036386F" w:rsidRPr="0036386F" w:rsidRDefault="0036386F" w:rsidP="000E05F0">
            <w:pPr>
              <w:pStyle w:val="GIZTemplateHeadings"/>
              <w:numPr>
                <w:ilvl w:val="0"/>
                <w:numId w:val="0"/>
              </w:numPr>
              <w:tabs>
                <w:tab w:val="left" w:pos="567"/>
              </w:tabs>
              <w:spacing w:after="0"/>
              <w:ind w:left="390" w:hanging="390"/>
              <w:rPr>
                <w:b w:val="0"/>
                <w:bCs w:val="0"/>
                <w:sz w:val="22"/>
                <w:lang w:val="en-AU"/>
              </w:rPr>
            </w:pPr>
            <w:r w:rsidRPr="0036386F">
              <w:rPr>
                <w:bCs w:val="0"/>
                <w:sz w:val="22"/>
                <w:lang w:val="en-AU"/>
              </w:rPr>
              <w:t xml:space="preserve">P2. </w:t>
            </w:r>
            <w:r w:rsidRPr="0036386F">
              <w:rPr>
                <w:b w:val="0"/>
                <w:bCs w:val="0"/>
                <w:sz w:val="22"/>
                <w:lang w:val="en-AU"/>
              </w:rPr>
              <w:t>Use available resources, systems and support for assessment purposes only</w:t>
            </w:r>
          </w:p>
          <w:p w:rsidR="0036386F" w:rsidRPr="0036386F" w:rsidRDefault="0036386F" w:rsidP="000E05F0">
            <w:pPr>
              <w:pStyle w:val="GIZTemplateHeadings"/>
              <w:numPr>
                <w:ilvl w:val="0"/>
                <w:numId w:val="0"/>
              </w:numPr>
              <w:tabs>
                <w:tab w:val="left" w:pos="567"/>
              </w:tabs>
              <w:spacing w:after="0"/>
              <w:ind w:left="390" w:hanging="390"/>
              <w:rPr>
                <w:b w:val="0"/>
                <w:bCs w:val="0"/>
                <w:sz w:val="22"/>
                <w:lang w:val="en-AU"/>
              </w:rPr>
            </w:pPr>
            <w:r w:rsidRPr="0036386F">
              <w:rPr>
                <w:bCs w:val="0"/>
                <w:sz w:val="22"/>
                <w:lang w:val="en-AU"/>
              </w:rPr>
              <w:t>P3.</w:t>
            </w:r>
            <w:r w:rsidRPr="0036386F">
              <w:rPr>
                <w:b w:val="0"/>
                <w:bCs w:val="0"/>
                <w:sz w:val="22"/>
                <w:lang w:val="en-AU"/>
              </w:rPr>
              <w:t xml:space="preserve"> Maintain ethical boundaries between personal gain and assessment property information</w:t>
            </w:r>
          </w:p>
          <w:p w:rsidR="0036386F" w:rsidRPr="0036386F" w:rsidRDefault="0036386F" w:rsidP="000E05F0">
            <w:pPr>
              <w:spacing w:before="120"/>
              <w:ind w:left="390" w:hanging="390"/>
              <w:rPr>
                <w:rFonts w:ascii="Arial" w:hAnsi="Arial" w:cs="Arial"/>
              </w:rPr>
            </w:pPr>
            <w:r w:rsidRPr="0036386F">
              <w:rPr>
                <w:rFonts w:ascii="Arial" w:hAnsi="Arial" w:cs="Arial"/>
                <w:b/>
                <w:bCs/>
              </w:rPr>
              <w:t>P4.</w:t>
            </w:r>
            <w:r w:rsidRPr="0036386F">
              <w:rPr>
                <w:rFonts w:ascii="Arial" w:hAnsi="Arial" w:cs="Arial"/>
                <w:bCs/>
              </w:rPr>
              <w:t xml:space="preserve"> </w:t>
            </w:r>
            <w:r w:rsidRPr="0036386F">
              <w:rPr>
                <w:rFonts w:ascii="Arial" w:hAnsi="Arial" w:cs="Arial"/>
              </w:rPr>
              <w:t>Strive proactively for high standards of performance and behavior as an assessor</w:t>
            </w:r>
          </w:p>
          <w:p w:rsidR="0036386F" w:rsidRPr="0036386F" w:rsidRDefault="0036386F" w:rsidP="0036386F">
            <w:pPr>
              <w:pStyle w:val="Listenabsatz"/>
              <w:widowControl/>
              <w:numPr>
                <w:ilvl w:val="0"/>
                <w:numId w:val="46"/>
              </w:numPr>
              <w:spacing w:before="120" w:after="120" w:line="276" w:lineRule="auto"/>
              <w:ind w:left="390" w:right="60"/>
              <w:rPr>
                <w:rFonts w:ascii="Arial" w:hAnsi="Arial" w:cs="Arial"/>
              </w:rPr>
            </w:pPr>
            <w:r w:rsidRPr="0036386F">
              <w:rPr>
                <w:rFonts w:ascii="Arial" w:hAnsi="Arial" w:cs="Arial"/>
              </w:rPr>
              <w:t>Demonstrate correct application of evidence requirements to job role when making assessment decisions</w:t>
            </w:r>
          </w:p>
          <w:p w:rsidR="0036386F" w:rsidRPr="0036386F" w:rsidRDefault="0036386F" w:rsidP="0036386F">
            <w:pPr>
              <w:pStyle w:val="Listenabsatz"/>
              <w:widowControl/>
              <w:numPr>
                <w:ilvl w:val="0"/>
                <w:numId w:val="43"/>
              </w:numPr>
              <w:spacing w:after="120" w:line="276" w:lineRule="auto"/>
              <w:ind w:left="390" w:right="60"/>
              <w:rPr>
                <w:rFonts w:ascii="Arial" w:hAnsi="Arial" w:cs="Arial"/>
              </w:rPr>
            </w:pPr>
            <w:r w:rsidRPr="0036386F">
              <w:rPr>
                <w:rFonts w:ascii="Arial" w:hAnsi="Arial" w:cs="Arial"/>
              </w:rPr>
              <w:t xml:space="preserve"> Apply knowledge of a safe work environment to ensure assessment activities are safely conducted at all times</w:t>
            </w:r>
          </w:p>
        </w:tc>
        <w:tc>
          <w:tcPr>
            <w:tcW w:w="6120" w:type="dxa"/>
          </w:tcPr>
          <w:p w:rsidR="0036386F" w:rsidRPr="0036386F" w:rsidRDefault="0036386F" w:rsidP="000E05F0">
            <w:pPr>
              <w:pStyle w:val="GIZTemplateHeadings"/>
              <w:numPr>
                <w:ilvl w:val="0"/>
                <w:numId w:val="0"/>
              </w:numPr>
              <w:tabs>
                <w:tab w:val="left" w:pos="567"/>
              </w:tabs>
              <w:spacing w:before="0" w:after="0"/>
              <w:rPr>
                <w:sz w:val="22"/>
                <w:szCs w:val="22"/>
                <w:lang w:val="en-AU"/>
              </w:rPr>
            </w:pPr>
            <w:r w:rsidRPr="0036386F">
              <w:rPr>
                <w:sz w:val="22"/>
                <w:szCs w:val="22"/>
                <w:lang w:val="en-AU"/>
              </w:rPr>
              <w:t>Assessor will know and understand:</w:t>
            </w:r>
          </w:p>
          <w:p w:rsidR="0036386F" w:rsidRPr="0036386F" w:rsidRDefault="0036386F" w:rsidP="000E05F0">
            <w:pPr>
              <w:pStyle w:val="GIZTemplateHeadings"/>
              <w:numPr>
                <w:ilvl w:val="0"/>
                <w:numId w:val="0"/>
              </w:numPr>
              <w:tabs>
                <w:tab w:val="clear" w:pos="1134"/>
              </w:tabs>
              <w:spacing w:after="0"/>
              <w:ind w:left="352" w:hanging="352"/>
              <w:rPr>
                <w:b w:val="0"/>
                <w:bCs w:val="0"/>
                <w:sz w:val="22"/>
                <w:szCs w:val="22"/>
                <w:lang w:val="en-AU"/>
              </w:rPr>
            </w:pPr>
            <w:r w:rsidRPr="0036386F">
              <w:rPr>
                <w:sz w:val="22"/>
                <w:szCs w:val="22"/>
                <w:lang w:val="en-AU"/>
              </w:rPr>
              <w:t>K1.</w:t>
            </w:r>
            <w:r w:rsidRPr="0036386F">
              <w:rPr>
                <w:b w:val="0"/>
                <w:bCs w:val="0"/>
                <w:sz w:val="22"/>
                <w:szCs w:val="22"/>
                <w:lang w:val="en-AU"/>
              </w:rPr>
              <w:t xml:space="preserve"> Professional boundaries between work and personal activities</w:t>
            </w:r>
          </w:p>
          <w:p w:rsidR="0036386F" w:rsidRPr="0036386F" w:rsidRDefault="0036386F" w:rsidP="000E05F0">
            <w:pPr>
              <w:pStyle w:val="GIZTemplateHeadings"/>
              <w:numPr>
                <w:ilvl w:val="0"/>
                <w:numId w:val="0"/>
              </w:numPr>
              <w:tabs>
                <w:tab w:val="clear" w:pos="1134"/>
              </w:tabs>
              <w:spacing w:after="0"/>
              <w:ind w:left="352" w:hanging="352"/>
              <w:rPr>
                <w:b w:val="0"/>
                <w:bCs w:val="0"/>
                <w:sz w:val="22"/>
                <w:lang w:val="en-AU"/>
              </w:rPr>
            </w:pPr>
            <w:r w:rsidRPr="0036386F">
              <w:rPr>
                <w:bCs w:val="0"/>
                <w:sz w:val="22"/>
                <w:lang w:val="en-AU"/>
              </w:rPr>
              <w:t>K2</w:t>
            </w:r>
            <w:r w:rsidRPr="0036386F">
              <w:rPr>
                <w:b w:val="0"/>
                <w:bCs w:val="0"/>
                <w:sz w:val="22"/>
                <w:lang w:val="en-AU"/>
              </w:rPr>
              <w:t xml:space="preserve"> Ethical boundaries (taking ownership) against personal/financial gain/bribery/ misuse of company property or information.</w:t>
            </w:r>
          </w:p>
          <w:p w:rsidR="0036386F" w:rsidRPr="0036386F" w:rsidRDefault="0036386F" w:rsidP="000E05F0">
            <w:pPr>
              <w:pStyle w:val="GIZTemplateHeadings"/>
              <w:numPr>
                <w:ilvl w:val="0"/>
                <w:numId w:val="0"/>
              </w:numPr>
              <w:tabs>
                <w:tab w:val="clear" w:pos="1134"/>
              </w:tabs>
              <w:spacing w:after="0"/>
              <w:ind w:left="352" w:hanging="352"/>
              <w:rPr>
                <w:b w:val="0"/>
                <w:bCs w:val="0"/>
                <w:sz w:val="22"/>
                <w:lang w:val="en-AU"/>
              </w:rPr>
            </w:pPr>
            <w:r w:rsidRPr="0036386F">
              <w:rPr>
                <w:bCs w:val="0"/>
                <w:sz w:val="22"/>
                <w:lang w:val="en-AU"/>
              </w:rPr>
              <w:t>K3.</w:t>
            </w:r>
            <w:r w:rsidRPr="0036386F">
              <w:rPr>
                <w:b w:val="0"/>
                <w:bCs w:val="0"/>
                <w:sz w:val="22"/>
                <w:lang w:val="en-AU"/>
              </w:rPr>
              <w:t xml:space="preserve"> Assessor performance and behaviour standards.</w:t>
            </w:r>
          </w:p>
          <w:p w:rsidR="0036386F" w:rsidRPr="0036386F" w:rsidRDefault="0036386F" w:rsidP="000E05F0">
            <w:pPr>
              <w:pStyle w:val="Listenabsatz"/>
              <w:ind w:left="352"/>
              <w:rPr>
                <w:rFonts w:ascii="Arial" w:hAnsi="Arial" w:cs="Arial"/>
              </w:rPr>
            </w:pPr>
            <w:r w:rsidRPr="0036386F">
              <w:rPr>
                <w:rFonts w:ascii="Arial" w:hAnsi="Arial" w:cs="Arial"/>
              </w:rPr>
              <w:t xml:space="preserve"> Requirements for assessment decision making as an assessor</w:t>
            </w:r>
          </w:p>
          <w:p w:rsidR="0036386F" w:rsidRPr="0036386F" w:rsidRDefault="0036386F" w:rsidP="0036386F">
            <w:pPr>
              <w:pStyle w:val="Listenabsatz"/>
              <w:widowControl/>
              <w:numPr>
                <w:ilvl w:val="0"/>
                <w:numId w:val="47"/>
              </w:numPr>
              <w:spacing w:after="120" w:line="276" w:lineRule="auto"/>
              <w:ind w:right="60"/>
              <w:rPr>
                <w:rFonts w:ascii="Arial" w:hAnsi="Arial" w:cs="Arial"/>
              </w:rPr>
            </w:pPr>
            <w:r w:rsidRPr="0036386F">
              <w:rPr>
                <w:rFonts w:ascii="Arial" w:hAnsi="Arial" w:cs="Arial"/>
              </w:rPr>
              <w:t xml:space="preserve"> Safe work environment requirements for assessment</w:t>
            </w:r>
          </w:p>
          <w:p w:rsidR="0036386F" w:rsidRPr="0036386F" w:rsidRDefault="0036386F" w:rsidP="000E05F0">
            <w:pPr>
              <w:pStyle w:val="GIZTemplateHeadings"/>
              <w:numPr>
                <w:ilvl w:val="0"/>
                <w:numId w:val="0"/>
              </w:numPr>
              <w:tabs>
                <w:tab w:val="left" w:pos="567"/>
              </w:tabs>
              <w:spacing w:before="0" w:after="0"/>
              <w:rPr>
                <w:lang w:val="en-AU"/>
              </w:rPr>
            </w:pPr>
          </w:p>
        </w:tc>
      </w:tr>
      <w:tr w:rsidR="0036386F" w:rsidRPr="0036386F" w:rsidTr="000E05F0">
        <w:tc>
          <w:tcPr>
            <w:tcW w:w="2268" w:type="dxa"/>
          </w:tcPr>
          <w:p w:rsidR="0036386F" w:rsidRPr="0036386F" w:rsidRDefault="0036386F" w:rsidP="000E05F0">
            <w:pPr>
              <w:rPr>
                <w:rFonts w:ascii="Arial" w:hAnsi="Arial" w:cs="Arial"/>
              </w:rPr>
            </w:pPr>
            <w:r w:rsidRPr="0036386F">
              <w:rPr>
                <w:rFonts w:ascii="Arial" w:hAnsi="Arial" w:cs="Arial"/>
                <w:b/>
                <w:bCs/>
              </w:rPr>
              <w:t>A3</w:t>
            </w:r>
            <w:r w:rsidRPr="0036386F">
              <w:rPr>
                <w:rFonts w:ascii="Arial" w:hAnsi="Arial" w:cs="Arial"/>
              </w:rPr>
              <w:t xml:space="preserve">. Protect and </w:t>
            </w:r>
            <w:r w:rsidRPr="0036386F">
              <w:rPr>
                <w:rFonts w:ascii="Arial" w:hAnsi="Arial" w:cs="Arial"/>
              </w:rPr>
              <w:lastRenderedPageBreak/>
              <w:t>prevent the misuse of confidential information</w:t>
            </w:r>
          </w:p>
        </w:tc>
        <w:tc>
          <w:tcPr>
            <w:tcW w:w="5850" w:type="dxa"/>
          </w:tcPr>
          <w:p w:rsidR="0036386F" w:rsidRPr="0036386F" w:rsidRDefault="0036386F" w:rsidP="000E05F0">
            <w:pPr>
              <w:pStyle w:val="GIZTemplateHeadings"/>
              <w:numPr>
                <w:ilvl w:val="0"/>
                <w:numId w:val="0"/>
              </w:numPr>
              <w:tabs>
                <w:tab w:val="left" w:pos="567"/>
              </w:tabs>
              <w:spacing w:before="0" w:after="0"/>
              <w:rPr>
                <w:sz w:val="22"/>
                <w:szCs w:val="22"/>
                <w:lang w:val="en-AU"/>
              </w:rPr>
            </w:pPr>
            <w:r w:rsidRPr="0036386F">
              <w:rPr>
                <w:sz w:val="22"/>
                <w:szCs w:val="22"/>
                <w:lang w:val="en-AU"/>
              </w:rPr>
              <w:lastRenderedPageBreak/>
              <w:t>Assessor will be able to:</w:t>
            </w:r>
          </w:p>
          <w:p w:rsidR="0036386F" w:rsidRPr="0036386F" w:rsidRDefault="0036386F" w:rsidP="000E05F0">
            <w:pPr>
              <w:pStyle w:val="GIZTemplateHeadings"/>
              <w:numPr>
                <w:ilvl w:val="0"/>
                <w:numId w:val="0"/>
              </w:numPr>
              <w:tabs>
                <w:tab w:val="left" w:pos="567"/>
              </w:tabs>
              <w:spacing w:after="0"/>
              <w:rPr>
                <w:b w:val="0"/>
                <w:bCs w:val="0"/>
                <w:sz w:val="22"/>
                <w:lang w:val="en-AU"/>
              </w:rPr>
            </w:pPr>
            <w:r w:rsidRPr="0036386F">
              <w:rPr>
                <w:sz w:val="22"/>
                <w:szCs w:val="22"/>
                <w:lang w:val="en-AU"/>
              </w:rPr>
              <w:lastRenderedPageBreak/>
              <w:t>P1</w:t>
            </w:r>
            <w:r w:rsidRPr="0036386F">
              <w:rPr>
                <w:b w:val="0"/>
                <w:bCs w:val="0"/>
                <w:sz w:val="22"/>
                <w:szCs w:val="22"/>
                <w:lang w:val="en-AU"/>
              </w:rPr>
              <w:t xml:space="preserve">. </w:t>
            </w:r>
            <w:r w:rsidRPr="0036386F">
              <w:rPr>
                <w:b w:val="0"/>
                <w:bCs w:val="0"/>
                <w:sz w:val="22"/>
                <w:lang w:val="en-AU"/>
              </w:rPr>
              <w:t xml:space="preserve">Maintain confidentiality of customers, colleagues and company information </w:t>
            </w:r>
          </w:p>
          <w:p w:rsidR="0036386F" w:rsidRPr="0036386F" w:rsidRDefault="0036386F" w:rsidP="000E05F0">
            <w:pPr>
              <w:pStyle w:val="GIZTemplateHeadings"/>
              <w:numPr>
                <w:ilvl w:val="0"/>
                <w:numId w:val="0"/>
              </w:numPr>
              <w:tabs>
                <w:tab w:val="left" w:pos="567"/>
              </w:tabs>
              <w:spacing w:after="0"/>
              <w:rPr>
                <w:b w:val="0"/>
                <w:bCs w:val="0"/>
                <w:sz w:val="22"/>
                <w:lang w:val="en-AU"/>
              </w:rPr>
            </w:pPr>
            <w:r w:rsidRPr="0036386F">
              <w:rPr>
                <w:bCs w:val="0"/>
                <w:sz w:val="22"/>
                <w:lang w:val="en-AU"/>
              </w:rPr>
              <w:t xml:space="preserve">P2. </w:t>
            </w:r>
            <w:r w:rsidRPr="0036386F">
              <w:rPr>
                <w:b w:val="0"/>
                <w:bCs w:val="0"/>
                <w:sz w:val="22"/>
                <w:lang w:val="en-AU"/>
              </w:rPr>
              <w:t>Observe the code of professional practice for protection of confidential information.</w:t>
            </w:r>
          </w:p>
          <w:p w:rsidR="0036386F" w:rsidRPr="0036386F" w:rsidRDefault="0036386F" w:rsidP="000E05F0">
            <w:pPr>
              <w:pStyle w:val="GIZTemplateHeadings"/>
              <w:numPr>
                <w:ilvl w:val="0"/>
                <w:numId w:val="0"/>
              </w:numPr>
              <w:tabs>
                <w:tab w:val="left" w:pos="567"/>
              </w:tabs>
              <w:spacing w:after="0"/>
              <w:rPr>
                <w:b w:val="0"/>
                <w:bCs w:val="0"/>
                <w:sz w:val="22"/>
                <w:szCs w:val="22"/>
                <w:lang w:val="en-AU"/>
              </w:rPr>
            </w:pPr>
            <w:r w:rsidRPr="0036386F">
              <w:rPr>
                <w:bCs w:val="0"/>
                <w:sz w:val="22"/>
                <w:lang w:val="en-AU"/>
              </w:rPr>
              <w:t xml:space="preserve">P3. </w:t>
            </w:r>
            <w:r w:rsidRPr="0036386F">
              <w:rPr>
                <w:b w:val="0"/>
                <w:bCs w:val="0"/>
                <w:sz w:val="22"/>
                <w:lang w:val="en-AU"/>
              </w:rPr>
              <w:t>Identify misuse of confidential information</w:t>
            </w:r>
            <w:r w:rsidRPr="0036386F">
              <w:rPr>
                <w:b w:val="0"/>
                <w:bCs w:val="0"/>
                <w:sz w:val="22"/>
                <w:szCs w:val="22"/>
                <w:lang w:val="en-AU"/>
              </w:rPr>
              <w:t xml:space="preserve"> and report to appropriate persons.</w:t>
            </w:r>
          </w:p>
        </w:tc>
        <w:tc>
          <w:tcPr>
            <w:tcW w:w="6120" w:type="dxa"/>
          </w:tcPr>
          <w:p w:rsidR="0036386F" w:rsidRPr="0036386F" w:rsidRDefault="0036386F" w:rsidP="000E05F0">
            <w:pPr>
              <w:rPr>
                <w:rFonts w:ascii="Arial" w:hAnsi="Arial" w:cs="Arial"/>
                <w:b/>
                <w:bCs/>
              </w:rPr>
            </w:pPr>
            <w:r w:rsidRPr="0036386F">
              <w:rPr>
                <w:rFonts w:ascii="Arial" w:hAnsi="Arial" w:cs="Arial"/>
                <w:b/>
              </w:rPr>
              <w:lastRenderedPageBreak/>
              <w:t>Assessor will know and understand:</w:t>
            </w:r>
          </w:p>
          <w:p w:rsidR="0036386F" w:rsidRPr="0036386F" w:rsidRDefault="0036386F" w:rsidP="000E05F0">
            <w:pPr>
              <w:spacing w:before="120"/>
              <w:ind w:left="352" w:hanging="352"/>
              <w:rPr>
                <w:rFonts w:ascii="Arial" w:hAnsi="Arial" w:cs="Arial"/>
              </w:rPr>
            </w:pPr>
            <w:r w:rsidRPr="0036386F">
              <w:rPr>
                <w:rFonts w:ascii="Arial" w:hAnsi="Arial" w:cs="Arial"/>
                <w:b/>
                <w:bCs/>
              </w:rPr>
              <w:lastRenderedPageBreak/>
              <w:t>K1</w:t>
            </w:r>
            <w:r w:rsidRPr="0036386F">
              <w:rPr>
                <w:rFonts w:ascii="Arial" w:hAnsi="Arial" w:cs="Arial"/>
              </w:rPr>
              <w:t xml:space="preserve">. Importance of maintaining confidentiality of information and requirements for protection of confidentiality </w:t>
            </w:r>
          </w:p>
          <w:p w:rsidR="0036386F" w:rsidRPr="0036386F" w:rsidRDefault="0036386F" w:rsidP="000E05F0">
            <w:pPr>
              <w:spacing w:before="120"/>
              <w:ind w:left="352" w:hanging="352"/>
              <w:rPr>
                <w:rFonts w:ascii="Arial" w:hAnsi="Arial" w:cs="Arial"/>
              </w:rPr>
            </w:pPr>
            <w:r w:rsidRPr="0036386F">
              <w:rPr>
                <w:rFonts w:ascii="Arial" w:hAnsi="Arial" w:cs="Arial"/>
                <w:b/>
                <w:bCs/>
              </w:rPr>
              <w:t>K2</w:t>
            </w:r>
            <w:r w:rsidRPr="0036386F">
              <w:rPr>
                <w:rFonts w:ascii="Arial" w:hAnsi="Arial" w:cs="Arial"/>
              </w:rPr>
              <w:t xml:space="preserve">. Code of </w:t>
            </w:r>
            <w:r w:rsidRPr="0036386F">
              <w:rPr>
                <w:rFonts w:ascii="Arial" w:hAnsi="Arial" w:cs="Arial"/>
                <w:bCs/>
                <w:lang w:val="en-AU"/>
              </w:rPr>
              <w:t>professional practice</w:t>
            </w:r>
            <w:r w:rsidRPr="0036386F">
              <w:rPr>
                <w:rFonts w:ascii="Arial" w:hAnsi="Arial" w:cs="Arial"/>
                <w:lang w:val="en-AU"/>
              </w:rPr>
              <w:t xml:space="preserve"> </w:t>
            </w:r>
            <w:r w:rsidRPr="0036386F">
              <w:rPr>
                <w:rFonts w:ascii="Arial" w:hAnsi="Arial" w:cs="Arial"/>
              </w:rPr>
              <w:t xml:space="preserve">and Assessor professional ethics </w:t>
            </w:r>
          </w:p>
          <w:p w:rsidR="0036386F" w:rsidRPr="0036386F" w:rsidRDefault="0036386F" w:rsidP="000E05F0">
            <w:pPr>
              <w:spacing w:before="120"/>
              <w:ind w:left="352" w:hanging="352"/>
              <w:rPr>
                <w:rFonts w:ascii="Arial" w:hAnsi="Arial" w:cs="Arial"/>
                <w:b/>
                <w:shd w:val="clear" w:color="auto" w:fill="FFFFFF"/>
              </w:rPr>
            </w:pPr>
            <w:r w:rsidRPr="0036386F">
              <w:rPr>
                <w:rFonts w:ascii="Arial" w:hAnsi="Arial" w:cs="Arial"/>
                <w:b/>
              </w:rPr>
              <w:t>K3.</w:t>
            </w:r>
            <w:r w:rsidRPr="0036386F">
              <w:rPr>
                <w:rFonts w:ascii="Arial" w:hAnsi="Arial" w:cs="Arial"/>
              </w:rPr>
              <w:t xml:space="preserve"> </w:t>
            </w:r>
            <w:r w:rsidRPr="0036386F">
              <w:rPr>
                <w:rFonts w:ascii="Arial" w:hAnsi="Arial" w:cs="Arial"/>
                <w:color w:val="333333"/>
                <w:shd w:val="clear" w:color="auto" w:fill="FFFFFF"/>
              </w:rPr>
              <w:t xml:space="preserve">Breaches of confidentiality </w:t>
            </w:r>
            <w:r w:rsidRPr="0036386F">
              <w:rPr>
                <w:rFonts w:ascii="Arial" w:hAnsi="Arial" w:cs="Arial"/>
              </w:rPr>
              <w:t xml:space="preserve">including </w:t>
            </w:r>
            <w:proofErr w:type="spellStart"/>
            <w:r w:rsidRPr="0036386F">
              <w:rPr>
                <w:rFonts w:ascii="Arial" w:hAnsi="Arial" w:cs="Arial"/>
              </w:rPr>
              <w:t>unauthorised</w:t>
            </w:r>
            <w:proofErr w:type="spellEnd"/>
            <w:r w:rsidRPr="0036386F">
              <w:rPr>
                <w:rFonts w:ascii="Arial" w:hAnsi="Arial" w:cs="Arial"/>
              </w:rPr>
              <w:t xml:space="preserve"> use of copyright material</w:t>
            </w:r>
            <w:r w:rsidRPr="0036386F">
              <w:rPr>
                <w:rFonts w:ascii="Arial" w:hAnsi="Arial" w:cs="Arial"/>
                <w:color w:val="333333"/>
                <w:shd w:val="clear" w:color="auto" w:fill="FFFFFF"/>
              </w:rPr>
              <w:t xml:space="preserve"> and their consequences</w:t>
            </w:r>
          </w:p>
          <w:p w:rsidR="0036386F" w:rsidRPr="0036386F" w:rsidRDefault="0036386F" w:rsidP="000E05F0">
            <w:pPr>
              <w:pStyle w:val="GIZTemplateHeadings"/>
              <w:numPr>
                <w:ilvl w:val="0"/>
                <w:numId w:val="0"/>
              </w:numPr>
              <w:tabs>
                <w:tab w:val="left" w:pos="567"/>
              </w:tabs>
              <w:spacing w:before="0" w:after="0"/>
              <w:rPr>
                <w:b w:val="0"/>
                <w:color w:val="333333"/>
                <w:sz w:val="22"/>
                <w:shd w:val="clear" w:color="auto" w:fill="FFFFFF"/>
                <w:lang w:val="en-AU"/>
              </w:rPr>
            </w:pPr>
          </w:p>
        </w:tc>
      </w:tr>
    </w:tbl>
    <w:p w:rsidR="006E6C90" w:rsidRDefault="006E6C90" w:rsidP="00FB7427">
      <w:pPr>
        <w:spacing w:before="10"/>
        <w:rPr>
          <w:rFonts w:ascii="Arial"/>
          <w:b/>
        </w:rPr>
      </w:pPr>
    </w:p>
    <w:sectPr w:rsidR="006E6C90"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8D79A8" w:rsidRPr="008D79A8">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36386F">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36386F">
            <w:rPr>
              <w:bCs/>
              <w:sz w:val="20"/>
            </w:rPr>
            <w:t>03</w:t>
          </w:r>
          <w:r w:rsidR="005E66FE">
            <w:rPr>
              <w:bCs/>
              <w:sz w:val="20"/>
            </w:rPr>
            <w:t>.</w:t>
          </w:r>
          <w:r w:rsidR="0036386F">
            <w:rPr>
              <w:bCs/>
              <w:sz w:val="20"/>
            </w:rPr>
            <w:t>09</w:t>
          </w:r>
          <w:r w:rsidR="005E66FE">
            <w:rPr>
              <w:bCs/>
              <w:sz w:val="20"/>
            </w:rPr>
            <w:t>.201</w:t>
          </w:r>
          <w:r w:rsidR="0036386F">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36386F" w:rsidRPr="0036386F">
      <w:rPr>
        <w:rFonts w:ascii="Arial" w:hAnsi="Arial" w:cs="Arial"/>
        <w:lang w:val="en-GB"/>
      </w:rPr>
      <w:t>0115</w:t>
    </w:r>
    <w:r w:rsidRPr="009F4293">
      <w:rPr>
        <w:rFonts w:ascii="Arial" w:hAnsi="Arial" w:cs="Arial"/>
        <w:lang w:val="en-GB"/>
      </w:rPr>
      <w:t>00</w:t>
    </w:r>
    <w:r w:rsidR="008D79A8">
      <w:rPr>
        <w:rFonts w:ascii="Arial" w:hAnsi="Arial" w:cs="Arial"/>
        <w:lang w:val="en-GB"/>
      </w:rPr>
      <w:t>445</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450" w:hanging="360"/>
      </w:pPr>
    </w:lvl>
    <w:lvl w:ilvl="1" w:tplc="00000002">
      <w:start w:val="1"/>
      <w:numFmt w:val="bullet"/>
      <w:lvlText w:val=""/>
      <w:lvlJc w:val="left"/>
      <w:pPr>
        <w:ind w:left="11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842DE"/>
    <w:multiLevelType w:val="hybridMultilevel"/>
    <w:tmpl w:val="E12AC818"/>
    <w:lvl w:ilvl="0" w:tplc="1AB85FB6">
      <w:start w:val="1"/>
      <w:numFmt w:val="decimal"/>
      <w:lvlText w:val="K%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4BA1124"/>
    <w:multiLevelType w:val="hybridMultilevel"/>
    <w:tmpl w:val="875435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BB561F3"/>
    <w:multiLevelType w:val="hybridMultilevel"/>
    <w:tmpl w:val="47A4CFE2"/>
    <w:lvl w:ilvl="0" w:tplc="C688D80A">
      <w:start w:val="1"/>
      <w:numFmt w:val="decimal"/>
      <w:lvlText w:val="K%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975D4"/>
    <w:multiLevelType w:val="hybridMultilevel"/>
    <w:tmpl w:val="64241E9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76E27"/>
    <w:multiLevelType w:val="hybridMultilevel"/>
    <w:tmpl w:val="DF567E0A"/>
    <w:lvl w:ilvl="0" w:tplc="2D8E0BBA">
      <w:start w:val="1"/>
      <w:numFmt w:val="decimal"/>
      <w:lvlText w:val="K%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7D5BCD"/>
    <w:multiLevelType w:val="hybridMultilevel"/>
    <w:tmpl w:val="2E84CE86"/>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94F02"/>
    <w:multiLevelType w:val="hybridMultilevel"/>
    <w:tmpl w:val="A61E3C00"/>
    <w:lvl w:ilvl="0" w:tplc="BC6AB21A">
      <w:start w:val="1"/>
      <w:numFmt w:val="decimal"/>
      <w:lvlText w:val="K%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64245"/>
    <w:multiLevelType w:val="hybridMultilevel"/>
    <w:tmpl w:val="23CA7E54"/>
    <w:lvl w:ilvl="0" w:tplc="5DD41A3E">
      <w:start w:val="4"/>
      <w:numFmt w:val="decimal"/>
      <w:lvlText w:val="K%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226FD"/>
    <w:multiLevelType w:val="hybridMultilevel"/>
    <w:tmpl w:val="FE827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EE1439"/>
    <w:multiLevelType w:val="hybridMultilevel"/>
    <w:tmpl w:val="E46C9DB2"/>
    <w:lvl w:ilvl="0" w:tplc="1AB85FB6">
      <w:start w:val="1"/>
      <w:numFmt w:val="decimal"/>
      <w:lvlText w:val="K%1."/>
      <w:lvlJc w:val="left"/>
      <w:pPr>
        <w:ind w:left="450" w:hanging="360"/>
      </w:pPr>
      <w:rPr>
        <w:rFonts w:hint="default"/>
      </w:rPr>
    </w:lvl>
    <w:lvl w:ilvl="1" w:tplc="00000002">
      <w:start w:val="1"/>
      <w:numFmt w:val="bullet"/>
      <w:lvlText w:val=""/>
      <w:lvlJc w:val="left"/>
      <w:pPr>
        <w:ind w:left="11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BFF00AA"/>
    <w:multiLevelType w:val="hybridMultilevel"/>
    <w:tmpl w:val="51F82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3E14DE"/>
    <w:multiLevelType w:val="hybridMultilevel"/>
    <w:tmpl w:val="A63CD0DA"/>
    <w:lvl w:ilvl="0" w:tplc="04090001">
      <w:start w:val="1"/>
      <w:numFmt w:val="bullet"/>
      <w:lvlText w:val=""/>
      <w:lvlJc w:val="left"/>
      <w:pPr>
        <w:ind w:left="900" w:hanging="360"/>
      </w:pPr>
      <w:rPr>
        <w:rFonts w:ascii="Symbol" w:hAnsi="Symbol"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C476753"/>
    <w:multiLevelType w:val="hybridMultilevel"/>
    <w:tmpl w:val="0ECE5890"/>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AD5129"/>
    <w:multiLevelType w:val="multilevel"/>
    <w:tmpl w:val="9B84C470"/>
    <w:lvl w:ilvl="0">
      <w:start w:val="1"/>
      <w:numFmt w:val="decimal"/>
      <w:lvlText w:val="P%1."/>
      <w:lvlJc w:val="left"/>
      <w:pPr>
        <w:ind w:left="360" w:hanging="360"/>
      </w:pPr>
      <w:rPr>
        <w:rFonts w:hint="default"/>
        <w:i w:val="0"/>
      </w:rPr>
    </w:lvl>
    <w:lvl w:ilvl="1">
      <w:start w:val="1"/>
      <w:numFmt w:val="bullet"/>
      <w:lvlText w:val=""/>
      <w:lvlJc w:val="left"/>
      <w:pPr>
        <w:ind w:left="52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40272C9"/>
    <w:multiLevelType w:val="hybridMultilevel"/>
    <w:tmpl w:val="77FEC09C"/>
    <w:lvl w:ilvl="0" w:tplc="D0B2B8E2">
      <w:start w:val="1"/>
      <w:numFmt w:val="decimal"/>
      <w:lvlText w:val="K%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37DE05A1"/>
    <w:multiLevelType w:val="hybridMultilevel"/>
    <w:tmpl w:val="A754BCC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A9A597F"/>
    <w:multiLevelType w:val="hybridMultilevel"/>
    <w:tmpl w:val="FCA867D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C6D02"/>
    <w:multiLevelType w:val="hybridMultilevel"/>
    <w:tmpl w:val="14EAD622"/>
    <w:lvl w:ilvl="0" w:tplc="58ECE4CA">
      <w:start w:val="1"/>
      <w:numFmt w:val="decimal"/>
      <w:lvlText w:val="P%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CB6E27"/>
    <w:multiLevelType w:val="hybridMultilevel"/>
    <w:tmpl w:val="E9785954"/>
    <w:lvl w:ilvl="0" w:tplc="6E0ADDB6">
      <w:start w:val="1"/>
      <w:numFmt w:val="decimal"/>
      <w:lvlText w:val="K%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18E31CF"/>
    <w:multiLevelType w:val="hybridMultilevel"/>
    <w:tmpl w:val="E416D080"/>
    <w:lvl w:ilvl="0" w:tplc="C226BE5A">
      <w:start w:val="1"/>
      <w:numFmt w:val="decimal"/>
      <w:lvlText w:val="K%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23564"/>
    <w:multiLevelType w:val="hybridMultilevel"/>
    <w:tmpl w:val="2188BE28"/>
    <w:lvl w:ilvl="0" w:tplc="85BAAB24">
      <w:start w:val="1"/>
      <w:numFmt w:val="decimal"/>
      <w:lvlText w:val="P%1."/>
      <w:lvlJc w:val="left"/>
      <w:pPr>
        <w:ind w:left="360" w:hanging="360"/>
      </w:pPr>
      <w:rPr>
        <w:rFonts w:hint="default"/>
        <w:i w:val="0"/>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5F46CF5"/>
    <w:multiLevelType w:val="hybridMultilevel"/>
    <w:tmpl w:val="200833F2"/>
    <w:lvl w:ilvl="0" w:tplc="1AB85FB6">
      <w:start w:val="1"/>
      <w:numFmt w:val="decimal"/>
      <w:lvlText w:val="K%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49EF247D"/>
    <w:multiLevelType w:val="hybridMultilevel"/>
    <w:tmpl w:val="137E4206"/>
    <w:lvl w:ilvl="0" w:tplc="2CF8B628">
      <w:start w:val="1"/>
      <w:numFmt w:val="decimal"/>
      <w:lvlText w:val="P%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336F15"/>
    <w:multiLevelType w:val="hybridMultilevel"/>
    <w:tmpl w:val="7996F138"/>
    <w:lvl w:ilvl="0" w:tplc="368ADE76">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22E68B0"/>
    <w:multiLevelType w:val="hybridMultilevel"/>
    <w:tmpl w:val="A5C61820"/>
    <w:lvl w:ilvl="0" w:tplc="8C424F50">
      <w:start w:val="1"/>
      <w:numFmt w:val="decimal"/>
      <w:lvlText w:val="P%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334FA"/>
    <w:multiLevelType w:val="hybridMultilevel"/>
    <w:tmpl w:val="10CCDD14"/>
    <w:lvl w:ilvl="0" w:tplc="CDD047E4">
      <w:start w:val="5"/>
      <w:numFmt w:val="decimal"/>
      <w:lvlText w:val="P%1."/>
      <w:lvlJc w:val="left"/>
      <w:pPr>
        <w:ind w:left="720" w:hanging="360"/>
      </w:pPr>
      <w:rPr>
        <w:rFonts w:ascii="Arial" w:hAnsi="Aria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D76E16"/>
    <w:multiLevelType w:val="hybridMultilevel"/>
    <w:tmpl w:val="6BA289E2"/>
    <w:lvl w:ilvl="0" w:tplc="0F36FBE4">
      <w:start w:val="1"/>
      <w:numFmt w:val="decimal"/>
      <w:pStyle w:val="GIZTemplateHeadings"/>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8">
    <w:nsid w:val="5A553C62"/>
    <w:multiLevelType w:val="hybridMultilevel"/>
    <w:tmpl w:val="ADA4FA44"/>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6242FD"/>
    <w:multiLevelType w:val="hybridMultilevel"/>
    <w:tmpl w:val="87BEFF84"/>
    <w:lvl w:ilvl="0" w:tplc="0AEC57A8">
      <w:start w:val="1"/>
      <w:numFmt w:val="decimal"/>
      <w:lvlText w:val="K%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9C66B6"/>
    <w:multiLevelType w:val="hybridMultilevel"/>
    <w:tmpl w:val="3D6017A8"/>
    <w:lvl w:ilvl="0" w:tplc="53D458F6">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E604350"/>
    <w:multiLevelType w:val="hybridMultilevel"/>
    <w:tmpl w:val="11DA145E"/>
    <w:lvl w:ilvl="0" w:tplc="4D60E54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5FA20A33"/>
    <w:multiLevelType w:val="hybridMultilevel"/>
    <w:tmpl w:val="2E84CE86"/>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E74839"/>
    <w:multiLevelType w:val="hybridMultilevel"/>
    <w:tmpl w:val="AE30F18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nsid w:val="64A30FB5"/>
    <w:multiLevelType w:val="hybridMultilevel"/>
    <w:tmpl w:val="01EE7886"/>
    <w:lvl w:ilvl="0" w:tplc="32E61616">
      <w:start w:val="1"/>
      <w:numFmt w:val="decimal"/>
      <w:lvlText w:val="K%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6BF6F19"/>
    <w:multiLevelType w:val="hybridMultilevel"/>
    <w:tmpl w:val="F18E86BC"/>
    <w:lvl w:ilvl="0" w:tplc="4C3AB614">
      <w:start w:val="1"/>
      <w:numFmt w:val="decimal"/>
      <w:lvlText w:val="K%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10465F"/>
    <w:multiLevelType w:val="hybridMultilevel"/>
    <w:tmpl w:val="D81092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C4AA2"/>
    <w:multiLevelType w:val="hybridMultilevel"/>
    <w:tmpl w:val="A754BCC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CF00FD4"/>
    <w:multiLevelType w:val="hybridMultilevel"/>
    <w:tmpl w:val="1794F906"/>
    <w:lvl w:ilvl="0" w:tplc="C226BE5A">
      <w:start w:val="1"/>
      <w:numFmt w:val="decimal"/>
      <w:lvlText w:val="K%1."/>
      <w:lvlJc w:val="lef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nsid w:val="6D896B65"/>
    <w:multiLevelType w:val="hybridMultilevel"/>
    <w:tmpl w:val="9D58B976"/>
    <w:lvl w:ilvl="0" w:tplc="368ADE76">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1576CD"/>
    <w:multiLevelType w:val="hybridMultilevel"/>
    <w:tmpl w:val="DF567E0A"/>
    <w:lvl w:ilvl="0" w:tplc="2D8E0BBA">
      <w:start w:val="1"/>
      <w:numFmt w:val="decimal"/>
      <w:lvlText w:val="K%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F1591B"/>
    <w:multiLevelType w:val="hybridMultilevel"/>
    <w:tmpl w:val="1E70F3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748C787C"/>
    <w:multiLevelType w:val="hybridMultilevel"/>
    <w:tmpl w:val="EB78DAD0"/>
    <w:lvl w:ilvl="0" w:tplc="C89A3C1C">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95EB0"/>
    <w:multiLevelType w:val="hybridMultilevel"/>
    <w:tmpl w:val="A3F8EB02"/>
    <w:lvl w:ilvl="0" w:tplc="CDF02990">
      <w:start w:val="1"/>
      <w:numFmt w:val="bullet"/>
      <w:lvlText w:val=""/>
      <w:lvlJc w:val="left"/>
      <w:pPr>
        <w:ind w:left="720" w:hanging="360"/>
      </w:pPr>
      <w:rPr>
        <w:rFonts w:ascii="Symbol" w:hAnsi="Symbol" w:hint="default"/>
      </w:rPr>
    </w:lvl>
    <w:lvl w:ilvl="1" w:tplc="00000002"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786D3E3B"/>
    <w:multiLevelType w:val="multilevel"/>
    <w:tmpl w:val="C4846F3C"/>
    <w:lvl w:ilvl="0">
      <w:start w:val="1"/>
      <w:numFmt w:val="decimal"/>
      <w:lvlText w:val="%1."/>
      <w:lvlJc w:val="left"/>
      <w:pPr>
        <w:ind w:left="360" w:hanging="360"/>
      </w:pPr>
      <w:rPr>
        <w:rFonts w:hint="default"/>
      </w:rPr>
    </w:lvl>
    <w:lvl w:ilvl="1">
      <w:start w:val="1"/>
      <w:numFmt w:val="decimal"/>
      <w:lvlText w:val="K%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90E6054"/>
    <w:multiLevelType w:val="hybridMultilevel"/>
    <w:tmpl w:val="735AB116"/>
    <w:lvl w:ilvl="0" w:tplc="A6160756">
      <w:start w:val="1"/>
      <w:numFmt w:val="bullet"/>
      <w:lvlText w:val=""/>
      <w:lvlJc w:val="left"/>
      <w:pPr>
        <w:ind w:left="720" w:hanging="360"/>
      </w:pPr>
      <w:rPr>
        <w:rFonts w:ascii="Symbol" w:hAnsi="Symbol" w:hint="default"/>
      </w:rPr>
    </w:lvl>
    <w:lvl w:ilvl="1" w:tplc="BED43AF8" w:tentative="1">
      <w:start w:val="1"/>
      <w:numFmt w:val="bullet"/>
      <w:lvlText w:val="o"/>
      <w:lvlJc w:val="left"/>
      <w:pPr>
        <w:ind w:left="1440" w:hanging="360"/>
      </w:pPr>
      <w:rPr>
        <w:rFonts w:ascii="Courier New" w:hAnsi="Courier New" w:cs="Courier New" w:hint="default"/>
      </w:rPr>
    </w:lvl>
    <w:lvl w:ilvl="2" w:tplc="C3B0A934" w:tentative="1">
      <w:start w:val="1"/>
      <w:numFmt w:val="bullet"/>
      <w:lvlText w:val=""/>
      <w:lvlJc w:val="left"/>
      <w:pPr>
        <w:ind w:left="2160" w:hanging="360"/>
      </w:pPr>
      <w:rPr>
        <w:rFonts w:ascii="Wingdings" w:hAnsi="Wingdings" w:hint="default"/>
      </w:rPr>
    </w:lvl>
    <w:lvl w:ilvl="3" w:tplc="B4CA61EC" w:tentative="1">
      <w:start w:val="1"/>
      <w:numFmt w:val="bullet"/>
      <w:lvlText w:val=""/>
      <w:lvlJc w:val="left"/>
      <w:pPr>
        <w:ind w:left="2880" w:hanging="360"/>
      </w:pPr>
      <w:rPr>
        <w:rFonts w:ascii="Symbol" w:hAnsi="Symbol" w:hint="default"/>
      </w:rPr>
    </w:lvl>
    <w:lvl w:ilvl="4" w:tplc="03D69834" w:tentative="1">
      <w:start w:val="1"/>
      <w:numFmt w:val="bullet"/>
      <w:lvlText w:val="o"/>
      <w:lvlJc w:val="left"/>
      <w:pPr>
        <w:ind w:left="3600" w:hanging="360"/>
      </w:pPr>
      <w:rPr>
        <w:rFonts w:ascii="Courier New" w:hAnsi="Courier New" w:cs="Courier New" w:hint="default"/>
      </w:rPr>
    </w:lvl>
    <w:lvl w:ilvl="5" w:tplc="9138770C" w:tentative="1">
      <w:start w:val="1"/>
      <w:numFmt w:val="bullet"/>
      <w:lvlText w:val=""/>
      <w:lvlJc w:val="left"/>
      <w:pPr>
        <w:ind w:left="4320" w:hanging="360"/>
      </w:pPr>
      <w:rPr>
        <w:rFonts w:ascii="Wingdings" w:hAnsi="Wingdings" w:hint="default"/>
      </w:rPr>
    </w:lvl>
    <w:lvl w:ilvl="6" w:tplc="7E08926A" w:tentative="1">
      <w:start w:val="1"/>
      <w:numFmt w:val="bullet"/>
      <w:lvlText w:val=""/>
      <w:lvlJc w:val="left"/>
      <w:pPr>
        <w:ind w:left="5040" w:hanging="360"/>
      </w:pPr>
      <w:rPr>
        <w:rFonts w:ascii="Symbol" w:hAnsi="Symbol" w:hint="default"/>
      </w:rPr>
    </w:lvl>
    <w:lvl w:ilvl="7" w:tplc="5E16FB5C" w:tentative="1">
      <w:start w:val="1"/>
      <w:numFmt w:val="bullet"/>
      <w:lvlText w:val="o"/>
      <w:lvlJc w:val="left"/>
      <w:pPr>
        <w:ind w:left="5760" w:hanging="360"/>
      </w:pPr>
      <w:rPr>
        <w:rFonts w:ascii="Courier New" w:hAnsi="Courier New" w:cs="Courier New" w:hint="default"/>
      </w:rPr>
    </w:lvl>
    <w:lvl w:ilvl="8" w:tplc="8D72CCF6" w:tentative="1">
      <w:start w:val="1"/>
      <w:numFmt w:val="bullet"/>
      <w:lvlText w:val=""/>
      <w:lvlJc w:val="left"/>
      <w:pPr>
        <w:ind w:left="6480" w:hanging="360"/>
      </w:pPr>
      <w:rPr>
        <w:rFonts w:ascii="Wingdings" w:hAnsi="Wingdings" w:hint="default"/>
      </w:rPr>
    </w:lvl>
  </w:abstractNum>
  <w:abstractNum w:abstractNumId="46">
    <w:nsid w:val="79296EF9"/>
    <w:multiLevelType w:val="hybridMultilevel"/>
    <w:tmpl w:val="F41096B0"/>
    <w:lvl w:ilvl="0" w:tplc="85AECE3A">
      <w:start w:val="1"/>
      <w:numFmt w:val="decimal"/>
      <w:lvlText w:val="P%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6"/>
  </w:num>
  <w:num w:numId="2">
    <w:abstractNumId w:val="29"/>
  </w:num>
  <w:num w:numId="3">
    <w:abstractNumId w:val="39"/>
  </w:num>
  <w:num w:numId="4">
    <w:abstractNumId w:val="1"/>
  </w:num>
  <w:num w:numId="5">
    <w:abstractNumId w:val="44"/>
  </w:num>
  <w:num w:numId="6">
    <w:abstractNumId w:val="0"/>
  </w:num>
  <w:num w:numId="7">
    <w:abstractNumId w:val="30"/>
  </w:num>
  <w:num w:numId="8">
    <w:abstractNumId w:val="37"/>
  </w:num>
  <w:num w:numId="9">
    <w:abstractNumId w:val="13"/>
  </w:num>
  <w:num w:numId="10">
    <w:abstractNumId w:val="42"/>
  </w:num>
  <w:num w:numId="11">
    <w:abstractNumId w:val="28"/>
  </w:num>
  <w:num w:numId="12">
    <w:abstractNumId w:val="43"/>
  </w:num>
  <w:num w:numId="13">
    <w:abstractNumId w:val="23"/>
  </w:num>
  <w:num w:numId="14">
    <w:abstractNumId w:val="19"/>
  </w:num>
  <w:num w:numId="15">
    <w:abstractNumId w:val="12"/>
  </w:num>
  <w:num w:numId="16">
    <w:abstractNumId w:val="20"/>
  </w:num>
  <w:num w:numId="17">
    <w:abstractNumId w:val="2"/>
  </w:num>
  <w:num w:numId="18">
    <w:abstractNumId w:val="14"/>
  </w:num>
  <w:num w:numId="19">
    <w:abstractNumId w:val="38"/>
  </w:num>
  <w:num w:numId="20">
    <w:abstractNumId w:val="21"/>
  </w:num>
  <w:num w:numId="21">
    <w:abstractNumId w:val="10"/>
  </w:num>
  <w:num w:numId="22">
    <w:abstractNumId w:val="22"/>
  </w:num>
  <w:num w:numId="23">
    <w:abstractNumId w:val="18"/>
  </w:num>
  <w:num w:numId="24">
    <w:abstractNumId w:val="35"/>
  </w:num>
  <w:num w:numId="25">
    <w:abstractNumId w:val="45"/>
  </w:num>
  <w:num w:numId="26">
    <w:abstractNumId w:val="31"/>
  </w:num>
  <w:num w:numId="27">
    <w:abstractNumId w:val="34"/>
  </w:num>
  <w:num w:numId="28">
    <w:abstractNumId w:val="15"/>
  </w:num>
  <w:num w:numId="29">
    <w:abstractNumId w:val="4"/>
  </w:num>
  <w:num w:numId="30">
    <w:abstractNumId w:val="24"/>
  </w:num>
  <w:num w:numId="31">
    <w:abstractNumId w:val="16"/>
  </w:num>
  <w:num w:numId="32">
    <w:abstractNumId w:val="40"/>
  </w:num>
  <w:num w:numId="33">
    <w:abstractNumId w:val="6"/>
  </w:num>
  <w:num w:numId="34">
    <w:abstractNumId w:val="36"/>
  </w:num>
  <w:num w:numId="35">
    <w:abstractNumId w:val="32"/>
  </w:num>
  <w:num w:numId="36">
    <w:abstractNumId w:val="17"/>
  </w:num>
  <w:num w:numId="37">
    <w:abstractNumId w:val="5"/>
  </w:num>
  <w:num w:numId="38">
    <w:abstractNumId w:val="41"/>
  </w:num>
  <w:num w:numId="39">
    <w:abstractNumId w:val="33"/>
  </w:num>
  <w:num w:numId="40">
    <w:abstractNumId w:val="9"/>
  </w:num>
  <w:num w:numId="41">
    <w:abstractNumId w:val="11"/>
  </w:num>
  <w:num w:numId="42">
    <w:abstractNumId w:val="27"/>
  </w:num>
  <w:num w:numId="43">
    <w:abstractNumId w:val="25"/>
  </w:num>
  <w:num w:numId="44">
    <w:abstractNumId w:val="7"/>
  </w:num>
  <w:num w:numId="45">
    <w:abstractNumId w:val="3"/>
  </w:num>
  <w:num w:numId="46">
    <w:abstractNumId w:val="26"/>
  </w:num>
  <w:num w:numId="4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26015"/>
    <w:rsid w:val="0003723D"/>
    <w:rsid w:val="00050172"/>
    <w:rsid w:val="000A3E6F"/>
    <w:rsid w:val="000D3540"/>
    <w:rsid w:val="000E6F33"/>
    <w:rsid w:val="001042AA"/>
    <w:rsid w:val="00146958"/>
    <w:rsid w:val="001814F8"/>
    <w:rsid w:val="00186AAD"/>
    <w:rsid w:val="001C5716"/>
    <w:rsid w:val="00243FB4"/>
    <w:rsid w:val="002E148C"/>
    <w:rsid w:val="002E361D"/>
    <w:rsid w:val="00316FAE"/>
    <w:rsid w:val="00332E52"/>
    <w:rsid w:val="00334379"/>
    <w:rsid w:val="0036386F"/>
    <w:rsid w:val="00375BF2"/>
    <w:rsid w:val="003C0C08"/>
    <w:rsid w:val="003E2047"/>
    <w:rsid w:val="00422B23"/>
    <w:rsid w:val="00427A7A"/>
    <w:rsid w:val="00470E59"/>
    <w:rsid w:val="00484E04"/>
    <w:rsid w:val="004A5069"/>
    <w:rsid w:val="004B7F09"/>
    <w:rsid w:val="004F6399"/>
    <w:rsid w:val="0054317C"/>
    <w:rsid w:val="00564EA3"/>
    <w:rsid w:val="005776EA"/>
    <w:rsid w:val="005C0931"/>
    <w:rsid w:val="005E66FE"/>
    <w:rsid w:val="006237CA"/>
    <w:rsid w:val="006A1025"/>
    <w:rsid w:val="006A5144"/>
    <w:rsid w:val="006B45D5"/>
    <w:rsid w:val="006E6C90"/>
    <w:rsid w:val="007073D3"/>
    <w:rsid w:val="00737E42"/>
    <w:rsid w:val="00747439"/>
    <w:rsid w:val="007622E9"/>
    <w:rsid w:val="00772757"/>
    <w:rsid w:val="007A6BD7"/>
    <w:rsid w:val="007B7A58"/>
    <w:rsid w:val="007E37F2"/>
    <w:rsid w:val="00801151"/>
    <w:rsid w:val="00801367"/>
    <w:rsid w:val="008400E1"/>
    <w:rsid w:val="00845DD9"/>
    <w:rsid w:val="00865FAD"/>
    <w:rsid w:val="008B04E8"/>
    <w:rsid w:val="008D79A8"/>
    <w:rsid w:val="008E1761"/>
    <w:rsid w:val="008E5B8E"/>
    <w:rsid w:val="00956947"/>
    <w:rsid w:val="00963266"/>
    <w:rsid w:val="009C1301"/>
    <w:rsid w:val="009F4293"/>
    <w:rsid w:val="009F4418"/>
    <w:rsid w:val="00A33B1E"/>
    <w:rsid w:val="00A55AD1"/>
    <w:rsid w:val="00A9581D"/>
    <w:rsid w:val="00AB7559"/>
    <w:rsid w:val="00B26E1B"/>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DF28DD"/>
    <w:rsid w:val="00E025E1"/>
    <w:rsid w:val="00E24229"/>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A729D"/>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List Paragraph1"/>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 w:type="paragraph" w:customStyle="1" w:styleId="GIZTemplateHeadings">
    <w:name w:val="GIZ Template Headings"/>
    <w:basedOn w:val="Standard"/>
    <w:next w:val="Standard"/>
    <w:qFormat/>
    <w:rsid w:val="0036386F"/>
    <w:pPr>
      <w:widowControl/>
      <w:numPr>
        <w:numId w:val="42"/>
      </w:numPr>
      <w:tabs>
        <w:tab w:val="left" w:pos="1134"/>
      </w:tabs>
      <w:spacing w:before="120" w:after="120"/>
      <w:ind w:left="567" w:hanging="567"/>
    </w:pPr>
    <w:rPr>
      <w:rFonts w:ascii="Arial" w:eastAsia="Times New Roman" w:hAnsi="Arial" w:cs="Arial"/>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List Paragraph1"/>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 w:type="paragraph" w:customStyle="1" w:styleId="GIZTemplateHeadings">
    <w:name w:val="GIZ Template Headings"/>
    <w:basedOn w:val="Standard"/>
    <w:next w:val="Standard"/>
    <w:qFormat/>
    <w:rsid w:val="0036386F"/>
    <w:pPr>
      <w:widowControl/>
      <w:numPr>
        <w:numId w:val="42"/>
      </w:numPr>
      <w:tabs>
        <w:tab w:val="left" w:pos="1134"/>
      </w:tabs>
      <w:spacing w:before="120" w:after="120"/>
      <w:ind w:left="567" w:hanging="567"/>
    </w:pPr>
    <w:rPr>
      <w:rFonts w:ascii="Arial" w:eastAsia="Times New Roman" w:hAnsi="Arial" w:cs="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4</cp:revision>
  <dcterms:created xsi:type="dcterms:W3CDTF">2016-09-16T12:42:00Z</dcterms:created>
  <dcterms:modified xsi:type="dcterms:W3CDTF">2016-09-19T12:01:00Z</dcterms:modified>
</cp:coreProperties>
</file>