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8554C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38554C">
              <w:rPr>
                <w:rFonts w:ascii="Arial" w:hAnsi="Arial" w:cs="Arial"/>
                <w:b/>
                <w:bCs/>
              </w:rPr>
              <w:t>Digitize patterns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8554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8554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8554C" w:rsidP="00D90C9F">
            <w:pPr>
              <w:rPr>
                <w:rFonts w:ascii="Arial" w:hAnsi="Arial" w:cs="Arial"/>
              </w:rPr>
            </w:pPr>
            <w:r w:rsidRPr="0038554C">
              <w:rPr>
                <w:rFonts w:ascii="Arial" w:hAnsi="Arial" w:cs="Arial"/>
              </w:rPr>
              <w:t xml:space="preserve">The competency standard identifies knowledge and skills required for </w:t>
            </w:r>
            <w:proofErr w:type="spellStart"/>
            <w:r w:rsidRPr="0038554C">
              <w:rPr>
                <w:rFonts w:ascii="Arial" w:hAnsi="Arial" w:cs="Arial"/>
              </w:rPr>
              <w:t>digitising</w:t>
            </w:r>
            <w:proofErr w:type="spellEnd"/>
            <w:r w:rsidRPr="0038554C">
              <w:rPr>
                <w:rFonts w:ascii="Arial" w:hAnsi="Arial" w:cs="Arial"/>
              </w:rPr>
              <w:t xml:space="preserve"> patterns that have been made manually. It enables the learner to apply this process to achieve the digitized patterns as final outcome in the end of this unit.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597F44" w:rsidP="00D90C9F">
            <w:pPr>
              <w:rPr>
                <w:rFonts w:ascii="Arial" w:hAnsi="Arial" w:cs="Arial"/>
              </w:rPr>
            </w:pPr>
            <w:r w:rsidRPr="00597F44">
              <w:rPr>
                <w:rFonts w:ascii="Arial" w:hAnsi="Arial" w:cs="Arial"/>
              </w:rPr>
              <w:t>0723 Textiles (clothes, footwear and leather)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409"/>
        <w:gridCol w:w="4187"/>
      </w:tblGrid>
      <w:tr w:rsidR="0038554C" w:rsidTr="0038554C">
        <w:trPr>
          <w:trHeight w:hRule="exact" w:val="650"/>
        </w:trPr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8554C" w:rsidRDefault="0038554C" w:rsidP="00701BF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8554C" w:rsidRDefault="0038554C" w:rsidP="00701BF3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8554C" w:rsidRDefault="0038554C" w:rsidP="00701BF3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38554C" w:rsidTr="0038554C">
        <w:trPr>
          <w:trHeight w:hRule="exact" w:val="3692"/>
        </w:trPr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 w:line="362" w:lineRule="auto"/>
              <w:ind w:left="93" w:right="10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C1 </w:t>
            </w:r>
            <w:r>
              <w:rPr>
                <w:rFonts w:ascii="Arial"/>
              </w:rPr>
              <w:t>Start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digitising</w:t>
            </w:r>
            <w:proofErr w:type="spellEnd"/>
            <w:r>
              <w:rPr>
                <w:rFonts w:ascii="Arial"/>
              </w:rPr>
              <w:t xml:space="preserve"> procedure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must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8554C" w:rsidRDefault="0038554C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spacing w:line="362" w:lineRule="auto"/>
              <w:ind w:left="518" w:right="55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CAD/CAM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software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installed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functioning correctly</w:t>
            </w:r>
          </w:p>
          <w:p w:rsidR="0038554C" w:rsidRDefault="0038554C" w:rsidP="00701BF3">
            <w:pPr>
              <w:pStyle w:val="TableParagraph"/>
              <w:spacing w:before="121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 xml:space="preserve">Turn the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</w:rPr>
              <w:t xml:space="preserve"> equipment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on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Check the equipment is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working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 w:line="472" w:lineRule="auto"/>
              <w:ind w:left="93" w:right="2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understand: K1</w:t>
            </w:r>
            <w:r>
              <w:rPr>
                <w:rFonts w:ascii="Arial"/>
              </w:rPr>
              <w:t>:  Basic pattern and garment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types</w:t>
            </w:r>
          </w:p>
          <w:p w:rsidR="0038554C" w:rsidRDefault="0038554C" w:rsidP="00701BF3">
            <w:pPr>
              <w:pStyle w:val="TableParagraph"/>
              <w:spacing w:before="1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Interpretation of pattern parts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components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 xml:space="preserve">: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</w:rPr>
              <w:t xml:space="preserve"> tools and how to operate them,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including:</w:t>
            </w:r>
          </w:p>
          <w:p w:rsidR="0038554C" w:rsidRDefault="0038554C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38554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cursor</w:t>
            </w:r>
          </w:p>
          <w:p w:rsidR="0038554C" w:rsidRDefault="0038554C" w:rsidP="00701BF3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38554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table</w:t>
            </w:r>
          </w:p>
          <w:p w:rsidR="0038554C" w:rsidRDefault="0038554C" w:rsidP="00701BF3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38554C">
            <w:pPr>
              <w:pStyle w:val="TableParagraph"/>
              <w:numPr>
                <w:ilvl w:val="0"/>
                <w:numId w:val="26"/>
              </w:numPr>
              <w:tabs>
                <w:tab w:val="left" w:pos="814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</w:rPr>
              <w:t xml:space="preserve"> function keys and menu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bar</w:t>
            </w:r>
          </w:p>
        </w:tc>
      </w:tr>
      <w:tr w:rsidR="0038554C" w:rsidTr="0038554C">
        <w:trPr>
          <w:trHeight w:hRule="exact" w:val="2787"/>
        </w:trPr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 w:line="362" w:lineRule="auto"/>
              <w:ind w:left="93" w:right="6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C2 </w:t>
            </w:r>
            <w:r>
              <w:rPr>
                <w:rFonts w:ascii="Arial"/>
              </w:rPr>
              <w:t xml:space="preserve">Operate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proofErr w:type="spellStart"/>
            <w:r>
              <w:rPr>
                <w:rFonts w:ascii="Arial"/>
              </w:rPr>
              <w:t>digitise</w:t>
            </w:r>
            <w:proofErr w:type="spellEnd"/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pattern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must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8554C" w:rsidRDefault="0038554C" w:rsidP="00701BF3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spacing w:line="360" w:lineRule="auto"/>
              <w:ind w:left="518" w:right="76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Place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designated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</w:rPr>
              <w:t xml:space="preserve"> according to the grain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line</w:t>
            </w:r>
          </w:p>
          <w:p w:rsidR="0038554C" w:rsidRDefault="0038554C" w:rsidP="00701BF3">
            <w:pPr>
              <w:pStyle w:val="TableParagraph"/>
              <w:spacing w:before="123" w:line="362" w:lineRule="auto"/>
              <w:ind w:left="518" w:right="80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wrinkled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creased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before placing on the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</w:rPr>
              <w:t>.</w:t>
            </w:r>
          </w:p>
          <w:p w:rsidR="0038554C" w:rsidRDefault="0038554C" w:rsidP="00701BF3">
            <w:pPr>
              <w:pStyle w:val="TableParagraph"/>
              <w:spacing w:before="121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function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keys from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menu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cursor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 xml:space="preserve">: Placement of pattern on </w:t>
            </w:r>
            <w:proofErr w:type="spellStart"/>
            <w:r>
              <w:rPr>
                <w:rFonts w:ascii="Arial"/>
              </w:rPr>
              <w:t>digitiser</w:t>
            </w:r>
            <w:proofErr w:type="spellEnd"/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table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: Pattern name, category, description and rule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table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: Pattern grading points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notches</w:t>
            </w:r>
          </w:p>
        </w:tc>
      </w:tr>
    </w:tbl>
    <w:p w:rsidR="00E24D88" w:rsidRDefault="00E24D88" w:rsidP="00597F44">
      <w:pPr>
        <w:spacing w:before="10"/>
        <w:rPr>
          <w:rFonts w:ascii="Arial"/>
          <w:b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409"/>
        <w:gridCol w:w="4287"/>
      </w:tblGrid>
      <w:tr w:rsidR="0038554C" w:rsidTr="0038554C">
        <w:trPr>
          <w:trHeight w:hRule="exact" w:val="2290"/>
        </w:trPr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/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>
            <w:pPr>
              <w:pStyle w:val="TableParagraph"/>
              <w:ind w:left="51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digitize</w:t>
            </w:r>
            <w:proofErr w:type="gram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pattern.</w:t>
            </w:r>
          </w:p>
          <w:p w:rsidR="0038554C" w:rsidRDefault="0038554C" w:rsidP="00701B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8554C" w:rsidRDefault="0038554C" w:rsidP="00701BF3">
            <w:pPr>
              <w:pStyle w:val="TableParagraph"/>
              <w:spacing w:line="360" w:lineRule="auto"/>
              <w:ind w:left="518" w:right="7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marked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cursor.</w:t>
            </w:r>
          </w:p>
          <w:p w:rsidR="0038554C" w:rsidRDefault="0038554C" w:rsidP="00701BF3">
            <w:pPr>
              <w:pStyle w:val="TableParagraph"/>
              <w:spacing w:before="123" w:line="360" w:lineRule="auto"/>
              <w:ind w:left="518" w:right="16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Return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cursor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its prescribed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holder 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conclusion of the </w:t>
            </w:r>
            <w:proofErr w:type="spellStart"/>
            <w:r>
              <w:rPr>
                <w:rFonts w:ascii="Arial"/>
              </w:rPr>
              <w:t>digitising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procedure.</w:t>
            </w:r>
          </w:p>
        </w:tc>
        <w:tc>
          <w:tcPr>
            <w:tcW w:w="4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54C" w:rsidRDefault="0038554C" w:rsidP="00701BF3"/>
        </w:tc>
      </w:tr>
    </w:tbl>
    <w:p w:rsidR="0038554C" w:rsidRDefault="0038554C" w:rsidP="00597F44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4C" w:rsidRPr="0038554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97F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597F44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597F44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0723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38554C">
      <w:rPr>
        <w:rFonts w:ascii="Arial" w:hAnsi="Arial" w:cs="Arial"/>
        <w:lang w:val="en-GB"/>
      </w:rPr>
      <w:t>200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22B23"/>
    <w:rsid w:val="00484E04"/>
    <w:rsid w:val="004A5069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2016-07-13T11:48:00Z</dcterms:created>
  <dcterms:modified xsi:type="dcterms:W3CDTF">2016-07-13T11:48:00Z</dcterms:modified>
</cp:coreProperties>
</file>